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1D9B" w:rsidRPr="001F25A2" w:rsidRDefault="00EC3045">
      <w:pPr>
        <w:spacing w:before="93"/>
        <w:ind w:left="2768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pict>
          <v:shape id="_x0000_s1026" type="#_x0000_t75" style="position:absolute;left:0;text-align:left;margin-left:39.7pt;margin-top:4.85pt;width:118.7pt;height:134.95pt;z-index:-251658752;mso-position-horizontal-relative:page">
            <v:imagedata r:id="rId7" o:title=""/>
            <w10:wrap anchorx="page"/>
          </v:shape>
        </w:pict>
      </w:r>
      <w:r w:rsidR="006C35C9" w:rsidRPr="001F25A2">
        <w:rPr>
          <w:rFonts w:asciiTheme="minorHAnsi" w:eastAsia="Arial" w:hAnsiTheme="minorHAnsi" w:cstheme="minorHAnsi"/>
          <w:b/>
          <w:spacing w:val="-6"/>
          <w:sz w:val="28"/>
          <w:szCs w:val="28"/>
        </w:rPr>
        <w:t>A</w:t>
      </w:r>
      <w:r w:rsidR="006C35C9" w:rsidRPr="001F25A2">
        <w:rPr>
          <w:rFonts w:asciiTheme="minorHAnsi" w:eastAsia="Arial" w:hAnsiTheme="minorHAnsi" w:cstheme="minorHAnsi"/>
          <w:b/>
          <w:spacing w:val="2"/>
          <w:sz w:val="28"/>
          <w:szCs w:val="28"/>
        </w:rPr>
        <w:t>G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R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>E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-</w:t>
      </w:r>
      <w:r w:rsidR="006C35C9" w:rsidRPr="001F25A2">
        <w:rPr>
          <w:rFonts w:asciiTheme="minorHAnsi" w:eastAsia="Arial" w:hAnsiTheme="minorHAnsi" w:cstheme="minorHAnsi"/>
          <w:b/>
          <w:spacing w:val="2"/>
          <w:sz w:val="28"/>
          <w:szCs w:val="28"/>
        </w:rPr>
        <w:t xml:space="preserve"> 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H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ea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>l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th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 xml:space="preserve"> </w:t>
      </w:r>
      <w:r w:rsidR="006C35C9" w:rsidRPr="001F25A2">
        <w:rPr>
          <w:rFonts w:asciiTheme="minorHAnsi" w:eastAsia="Arial" w:hAnsiTheme="minorHAnsi" w:cstheme="minorHAnsi"/>
          <w:b/>
          <w:spacing w:val="2"/>
          <w:sz w:val="28"/>
          <w:szCs w:val="28"/>
        </w:rPr>
        <w:t>S</w:t>
      </w:r>
      <w:r w:rsidR="006C35C9" w:rsidRPr="001F25A2">
        <w:rPr>
          <w:rFonts w:asciiTheme="minorHAnsi" w:eastAsia="Arial" w:hAnsiTheme="minorHAnsi" w:cstheme="minorHAnsi"/>
          <w:b/>
          <w:spacing w:val="-5"/>
          <w:sz w:val="28"/>
          <w:szCs w:val="28"/>
        </w:rPr>
        <w:t>y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 xml:space="preserve">stems </w:t>
      </w:r>
      <w:r w:rsidR="006C35C9" w:rsidRPr="001F25A2">
        <w:rPr>
          <w:rFonts w:asciiTheme="minorHAnsi" w:eastAsia="Arial" w:hAnsiTheme="minorHAnsi" w:cstheme="minorHAnsi"/>
          <w:b/>
          <w:spacing w:val="3"/>
          <w:sz w:val="28"/>
          <w:szCs w:val="28"/>
        </w:rPr>
        <w:t>(</w:t>
      </w:r>
      <w:r w:rsidR="006C35C9" w:rsidRPr="001F25A2">
        <w:rPr>
          <w:rFonts w:asciiTheme="minorHAnsi" w:eastAsia="Arial" w:hAnsiTheme="minorHAnsi" w:cstheme="minorHAnsi"/>
          <w:b/>
          <w:spacing w:val="-8"/>
          <w:sz w:val="28"/>
          <w:szCs w:val="28"/>
        </w:rPr>
        <w:t>A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G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R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>E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-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>H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S)</w:t>
      </w:r>
      <w:r w:rsidR="006C35C9" w:rsidRPr="001F25A2">
        <w:rPr>
          <w:rFonts w:asciiTheme="minorHAnsi" w:eastAsia="Arial" w:hAnsiTheme="minorHAnsi" w:cstheme="minorHAnsi"/>
          <w:b/>
          <w:spacing w:val="2"/>
          <w:sz w:val="28"/>
          <w:szCs w:val="28"/>
        </w:rPr>
        <w:t xml:space="preserve"> 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R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e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po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>r</w:t>
      </w:r>
      <w:r w:rsidR="006C35C9" w:rsidRPr="001F25A2">
        <w:rPr>
          <w:rFonts w:asciiTheme="minorHAnsi" w:eastAsia="Arial" w:hAnsiTheme="minorHAnsi" w:cstheme="minorHAnsi"/>
          <w:b/>
          <w:spacing w:val="-2"/>
          <w:sz w:val="28"/>
          <w:szCs w:val="28"/>
        </w:rPr>
        <w:t>t</w:t>
      </w:r>
      <w:r w:rsidR="006C35C9" w:rsidRPr="001F25A2">
        <w:rPr>
          <w:rFonts w:asciiTheme="minorHAnsi" w:eastAsia="Arial" w:hAnsiTheme="minorHAnsi" w:cstheme="minorHAnsi"/>
          <w:b/>
          <w:spacing w:val="1"/>
          <w:sz w:val="28"/>
          <w:szCs w:val="28"/>
        </w:rPr>
        <w:t>i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n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g</w:t>
      </w:r>
      <w:r w:rsidR="006C35C9" w:rsidRPr="001F25A2">
        <w:rPr>
          <w:rFonts w:asciiTheme="minorHAnsi" w:eastAsia="Arial" w:hAnsiTheme="minorHAnsi" w:cstheme="minorHAnsi"/>
          <w:b/>
          <w:spacing w:val="2"/>
          <w:sz w:val="28"/>
          <w:szCs w:val="28"/>
        </w:rPr>
        <w:t xml:space="preserve"> </w:t>
      </w:r>
      <w:r w:rsidR="006C35C9" w:rsidRPr="001F25A2">
        <w:rPr>
          <w:rFonts w:asciiTheme="minorHAnsi" w:eastAsia="Arial" w:hAnsiTheme="minorHAnsi" w:cstheme="minorHAnsi"/>
          <w:b/>
          <w:spacing w:val="-1"/>
          <w:sz w:val="28"/>
          <w:szCs w:val="28"/>
        </w:rPr>
        <w:t>Ch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eckl</w:t>
      </w:r>
      <w:r w:rsidR="006C35C9" w:rsidRPr="001F25A2">
        <w:rPr>
          <w:rFonts w:asciiTheme="minorHAnsi" w:eastAsia="Arial" w:hAnsiTheme="minorHAnsi" w:cstheme="minorHAnsi"/>
          <w:b/>
          <w:spacing w:val="2"/>
          <w:sz w:val="28"/>
          <w:szCs w:val="28"/>
        </w:rPr>
        <w:t>i</w:t>
      </w:r>
      <w:r w:rsidR="006C35C9" w:rsidRPr="001F25A2">
        <w:rPr>
          <w:rFonts w:asciiTheme="minorHAnsi" w:eastAsia="Arial" w:hAnsiTheme="minorHAnsi" w:cstheme="minorHAnsi"/>
          <w:b/>
          <w:spacing w:val="-3"/>
          <w:sz w:val="28"/>
          <w:szCs w:val="28"/>
        </w:rPr>
        <w:t>s</w:t>
      </w:r>
      <w:r w:rsidR="006C35C9" w:rsidRPr="001F25A2">
        <w:rPr>
          <w:rFonts w:asciiTheme="minorHAnsi" w:eastAsia="Arial" w:hAnsiTheme="minorHAnsi" w:cstheme="minorHAnsi"/>
          <w:b/>
          <w:sz w:val="28"/>
          <w:szCs w:val="28"/>
        </w:rPr>
        <w:t>t</w:t>
      </w:r>
    </w:p>
    <w:p w:rsidR="00741D9B" w:rsidRPr="000A5665" w:rsidRDefault="006C35C9">
      <w:pPr>
        <w:spacing w:line="320" w:lineRule="exact"/>
        <w:ind w:left="2768"/>
        <w:rPr>
          <w:rFonts w:asciiTheme="minorHAnsi" w:eastAsia="Arial" w:hAnsiTheme="minorHAnsi" w:cstheme="minorHAnsi"/>
          <w:sz w:val="28"/>
          <w:szCs w:val="28"/>
          <w:lang w:val="it-IT"/>
        </w:rPr>
      </w:pPr>
      <w:r w:rsidRPr="000A5665">
        <w:rPr>
          <w:rFonts w:asciiTheme="minorHAnsi" w:eastAsia="Arial" w:hAnsiTheme="minorHAnsi" w:cstheme="minorHAnsi"/>
          <w:position w:val="-1"/>
          <w:sz w:val="28"/>
          <w:szCs w:val="28"/>
          <w:lang w:val="it-IT"/>
        </w:rPr>
        <w:t>2018</w:t>
      </w:r>
    </w:p>
    <w:p w:rsidR="00741D9B" w:rsidRPr="000A5665" w:rsidRDefault="00741D9B">
      <w:pPr>
        <w:spacing w:line="260" w:lineRule="exact"/>
        <w:rPr>
          <w:rFonts w:asciiTheme="minorHAnsi" w:hAnsiTheme="minorHAnsi" w:cstheme="minorHAnsi"/>
          <w:sz w:val="26"/>
          <w:szCs w:val="26"/>
          <w:lang w:val="it-IT"/>
        </w:rPr>
      </w:pPr>
    </w:p>
    <w:p w:rsidR="00EA535A" w:rsidRPr="00EA535A" w:rsidRDefault="00750679" w:rsidP="00EA535A">
      <w:pPr>
        <w:ind w:left="2767" w:right="919"/>
        <w:rPr>
          <w:rFonts w:asciiTheme="minorHAnsi" w:hAnsiTheme="minorHAnsi" w:cstheme="minorHAnsi"/>
          <w:sz w:val="10"/>
          <w:szCs w:val="10"/>
          <w:lang w:val="it-IT"/>
        </w:rPr>
      </w:pPr>
      <w:r w:rsidRPr="00750679">
        <w:rPr>
          <w:rFonts w:asciiTheme="minorHAnsi" w:eastAsia="Arial" w:hAnsiTheme="minorHAnsi" w:cstheme="minorHAnsi"/>
          <w:sz w:val="22"/>
          <w:szCs w:val="22"/>
          <w:lang w:val="it-IT"/>
        </w:rPr>
        <w:t>Questa checklist è finalizzata a guidare il reporting delle linee guida non cliniche in sanità</w:t>
      </w:r>
      <w:r w:rsidR="006C35C9" w:rsidRPr="00750679">
        <w:rPr>
          <w:rFonts w:asciiTheme="minorHAnsi" w:eastAsia="Arial" w:hAnsiTheme="minorHAnsi" w:cstheme="minorHAnsi"/>
          <w:i/>
          <w:spacing w:val="2"/>
          <w:sz w:val="22"/>
          <w:szCs w:val="22"/>
          <w:lang w:val="it-IT"/>
        </w:rPr>
        <w:t xml:space="preserve"> </w:t>
      </w:r>
      <w:r w:rsidRPr="00750679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(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h</w:t>
      </w:r>
      <w:r w:rsidR="006C35C9" w:rsidRPr="00750679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e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a</w:t>
      </w:r>
      <w:r w:rsidR="006C35C9" w:rsidRPr="00750679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l</w:t>
      </w:r>
      <w:r w:rsidR="006C35C9" w:rsidRPr="00750679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h sy</w:t>
      </w:r>
      <w:r w:rsidR="006C35C9" w:rsidRPr="00750679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>s</w:t>
      </w:r>
      <w:r w:rsidR="006C35C9" w:rsidRPr="00750679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>t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e</w:t>
      </w:r>
      <w:r w:rsidR="006C35C9" w:rsidRPr="00750679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>m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s</w:t>
      </w:r>
      <w:r w:rsidR="006C35C9" w:rsidRPr="00750679">
        <w:rPr>
          <w:rFonts w:asciiTheme="minorHAnsi" w:eastAsia="Arial" w:hAnsiTheme="minorHAnsi" w:cstheme="minorHAnsi"/>
          <w:i/>
          <w:spacing w:val="1"/>
          <w:sz w:val="22"/>
          <w:szCs w:val="22"/>
          <w:lang w:val="it-IT"/>
        </w:rPr>
        <w:t xml:space="preserve"> </w:t>
      </w:r>
      <w:proofErr w:type="spellStart"/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g</w:t>
      </w:r>
      <w:r w:rsidR="006C35C9" w:rsidRPr="00750679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ui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d</w:t>
      </w:r>
      <w:r w:rsidR="006C35C9" w:rsidRPr="00750679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a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nce</w:t>
      </w:r>
      <w:proofErr w:type="spellEnd"/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 xml:space="preserve"> </w:t>
      </w:r>
      <w:proofErr w:type="spellStart"/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d</w:t>
      </w:r>
      <w:r w:rsidR="006C35C9" w:rsidRPr="00750679">
        <w:rPr>
          <w:rFonts w:asciiTheme="minorHAnsi" w:eastAsia="Arial" w:hAnsiTheme="minorHAnsi" w:cstheme="minorHAnsi"/>
          <w:i/>
          <w:spacing w:val="-1"/>
          <w:sz w:val="22"/>
          <w:szCs w:val="22"/>
          <w:lang w:val="it-IT"/>
        </w:rPr>
        <w:t>o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cumen</w:t>
      </w:r>
      <w:r w:rsidR="006C35C9" w:rsidRPr="00750679">
        <w:rPr>
          <w:rFonts w:asciiTheme="minorHAnsi" w:eastAsia="Arial" w:hAnsiTheme="minorHAnsi" w:cstheme="minorHAnsi"/>
          <w:i/>
          <w:spacing w:val="-2"/>
          <w:sz w:val="22"/>
          <w:szCs w:val="22"/>
          <w:lang w:val="it-IT"/>
        </w:rPr>
        <w:t>t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s</w:t>
      </w:r>
      <w:proofErr w:type="spellEnd"/>
      <w:r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)</w:t>
      </w:r>
      <w:r w:rsidR="006C35C9" w:rsidRPr="00750679">
        <w:rPr>
          <w:rFonts w:asciiTheme="minorHAnsi" w:eastAsia="Arial" w:hAnsiTheme="minorHAnsi" w:cstheme="minorHAnsi"/>
          <w:i/>
          <w:sz w:val="22"/>
          <w:szCs w:val="22"/>
          <w:lang w:val="it-IT"/>
        </w:rPr>
        <w:t>.</w:t>
      </w:r>
      <w:r w:rsidR="00EA535A" w:rsidRPr="00EA535A">
        <w:rPr>
          <w:rFonts w:asciiTheme="minorHAnsi" w:hAnsiTheme="minorHAnsi" w:cstheme="minorHAnsi"/>
          <w:sz w:val="10"/>
          <w:szCs w:val="10"/>
          <w:lang w:val="it-IT"/>
        </w:rPr>
        <w:t xml:space="preserve"> </w:t>
      </w:r>
    </w:p>
    <w:p w:rsidR="00741D9B" w:rsidRPr="00EA535A" w:rsidRDefault="00741D9B" w:rsidP="00EA535A">
      <w:pPr>
        <w:ind w:left="2767" w:right="919"/>
        <w:rPr>
          <w:rFonts w:asciiTheme="minorHAnsi" w:hAnsiTheme="minorHAnsi" w:cstheme="minorHAnsi"/>
          <w:color w:val="FF0000"/>
          <w:sz w:val="10"/>
          <w:szCs w:val="10"/>
          <w:lang w:val="it-IT"/>
        </w:rPr>
      </w:pPr>
    </w:p>
    <w:p w:rsidR="00741D9B" w:rsidRDefault="00750679" w:rsidP="00EA535A">
      <w:pPr>
        <w:spacing w:line="240" w:lineRule="exact"/>
        <w:ind w:left="2768" w:right="921"/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</w:pPr>
      <w:r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I manoscritti correlate ad </w:t>
      </w:r>
      <w:r w:rsidR="006C35C9"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AGREE-HS </w:t>
      </w:r>
      <w:r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sono stati sottomessi a riviste</w:t>
      </w:r>
      <w:r w:rsidR="006C35C9"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to peer-review </w:t>
      </w:r>
      <w:r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per la pubblicazione</w:t>
      </w:r>
      <w:r w:rsidR="006C35C9"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. </w:t>
      </w:r>
      <w:r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I riferimenti bibliografici verranno aggiunti qui quando</w:t>
      </w:r>
      <w:r w:rsidR="00EA535A"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 xml:space="preserve"> </w:t>
      </w:r>
      <w:r w:rsidRPr="00EA535A">
        <w:rPr>
          <w:rFonts w:asciiTheme="minorHAnsi" w:eastAsia="Arial" w:hAnsiTheme="minorHAnsi" w:cstheme="minorHAnsi"/>
          <w:spacing w:val="-4"/>
          <w:sz w:val="22"/>
          <w:szCs w:val="22"/>
          <w:lang w:val="it-IT"/>
        </w:rPr>
        <w:t>disponibili.</w:t>
      </w:r>
    </w:p>
    <w:p w:rsidR="00EA535A" w:rsidRPr="00EA535A" w:rsidRDefault="00EA535A" w:rsidP="00EA535A">
      <w:pPr>
        <w:ind w:left="2767" w:right="919"/>
        <w:rPr>
          <w:rFonts w:asciiTheme="minorHAnsi" w:hAnsiTheme="minorHAnsi" w:cstheme="minorHAnsi"/>
          <w:sz w:val="10"/>
          <w:szCs w:val="10"/>
          <w:lang w:val="it-IT"/>
        </w:rPr>
      </w:pPr>
    </w:p>
    <w:p w:rsidR="00741D9B" w:rsidRPr="001F25A2" w:rsidRDefault="00DB2223">
      <w:pPr>
        <w:spacing w:line="220" w:lineRule="exact"/>
        <w:ind w:left="2768" w:right="417"/>
        <w:rPr>
          <w:rFonts w:asciiTheme="minorHAnsi" w:eastAsia="Arial" w:hAnsiTheme="minorHAnsi" w:cstheme="minorHAnsi"/>
          <w:lang w:val="it-IT"/>
        </w:rPr>
      </w:pPr>
      <w:r w:rsidRPr="001F25A2">
        <w:rPr>
          <w:rFonts w:asciiTheme="minorHAnsi" w:eastAsia="Arial" w:hAnsiTheme="minorHAnsi" w:cstheme="minorHAnsi"/>
          <w:lang w:val="it-IT"/>
        </w:rPr>
        <w:t>Per informazioni sull’</w:t>
      </w:r>
      <w:r w:rsidR="006C35C9" w:rsidRPr="001F25A2">
        <w:rPr>
          <w:rFonts w:asciiTheme="minorHAnsi" w:eastAsia="Arial" w:hAnsiTheme="minorHAnsi" w:cstheme="minorHAnsi"/>
          <w:spacing w:val="-1"/>
          <w:lang w:val="it-IT"/>
        </w:rPr>
        <w:t>A</w:t>
      </w:r>
      <w:r w:rsidR="006C35C9" w:rsidRPr="001F25A2">
        <w:rPr>
          <w:rFonts w:asciiTheme="minorHAnsi" w:eastAsia="Arial" w:hAnsiTheme="minorHAnsi" w:cstheme="minorHAnsi"/>
          <w:spacing w:val="1"/>
          <w:lang w:val="it-IT"/>
        </w:rPr>
        <w:t>G</w:t>
      </w:r>
      <w:r w:rsidR="006C35C9" w:rsidRPr="001F25A2">
        <w:rPr>
          <w:rFonts w:asciiTheme="minorHAnsi" w:eastAsia="Arial" w:hAnsiTheme="minorHAnsi" w:cstheme="minorHAnsi"/>
          <w:lang w:val="it-IT"/>
        </w:rPr>
        <w:t>R</w:t>
      </w:r>
      <w:r w:rsidR="006C35C9" w:rsidRPr="001F25A2">
        <w:rPr>
          <w:rFonts w:asciiTheme="minorHAnsi" w:eastAsia="Arial" w:hAnsiTheme="minorHAnsi" w:cstheme="minorHAnsi"/>
          <w:spacing w:val="2"/>
          <w:lang w:val="it-IT"/>
        </w:rPr>
        <w:t>EE</w:t>
      </w:r>
      <w:r w:rsidR="006C35C9" w:rsidRPr="001F25A2">
        <w:rPr>
          <w:rFonts w:asciiTheme="minorHAnsi" w:eastAsia="Arial" w:hAnsiTheme="minorHAnsi" w:cstheme="minorHAnsi"/>
          <w:spacing w:val="1"/>
          <w:lang w:val="it-IT"/>
        </w:rPr>
        <w:t>-</w:t>
      </w:r>
      <w:r w:rsidR="006C35C9" w:rsidRPr="001F25A2">
        <w:rPr>
          <w:rFonts w:asciiTheme="minorHAnsi" w:eastAsia="Arial" w:hAnsiTheme="minorHAnsi" w:cstheme="minorHAnsi"/>
          <w:lang w:val="it-IT"/>
        </w:rPr>
        <w:t>HS</w:t>
      </w:r>
      <w:r w:rsidR="006C35C9" w:rsidRPr="001F25A2">
        <w:rPr>
          <w:rFonts w:asciiTheme="minorHAnsi" w:eastAsia="Arial" w:hAnsiTheme="minorHAnsi" w:cstheme="minorHAnsi"/>
          <w:spacing w:val="-8"/>
          <w:lang w:val="it-IT"/>
        </w:rPr>
        <w:t xml:space="preserve"> </w:t>
      </w:r>
      <w:r w:rsidR="006C35C9" w:rsidRPr="001F25A2">
        <w:rPr>
          <w:rFonts w:asciiTheme="minorHAnsi" w:eastAsia="Arial" w:hAnsiTheme="minorHAnsi" w:cstheme="minorHAnsi"/>
          <w:lang w:val="it-IT"/>
        </w:rPr>
        <w:t>Re</w:t>
      </w:r>
      <w:r w:rsidR="006C35C9" w:rsidRPr="001F25A2">
        <w:rPr>
          <w:rFonts w:asciiTheme="minorHAnsi" w:eastAsia="Arial" w:hAnsiTheme="minorHAnsi" w:cstheme="minorHAnsi"/>
          <w:spacing w:val="1"/>
          <w:lang w:val="it-IT"/>
        </w:rPr>
        <w:t>p</w:t>
      </w:r>
      <w:r w:rsidR="006C35C9" w:rsidRPr="001F25A2">
        <w:rPr>
          <w:rFonts w:asciiTheme="minorHAnsi" w:eastAsia="Arial" w:hAnsiTheme="minorHAnsi" w:cstheme="minorHAnsi"/>
          <w:lang w:val="it-IT"/>
        </w:rPr>
        <w:t>ort</w:t>
      </w:r>
      <w:r w:rsidR="006C35C9" w:rsidRPr="001F25A2">
        <w:rPr>
          <w:rFonts w:asciiTheme="minorHAnsi" w:eastAsia="Arial" w:hAnsiTheme="minorHAnsi" w:cstheme="minorHAnsi"/>
          <w:spacing w:val="2"/>
          <w:lang w:val="it-IT"/>
        </w:rPr>
        <w:t>i</w:t>
      </w:r>
      <w:r w:rsidR="006C35C9" w:rsidRPr="001F25A2">
        <w:rPr>
          <w:rFonts w:asciiTheme="minorHAnsi" w:eastAsia="Arial" w:hAnsiTheme="minorHAnsi" w:cstheme="minorHAnsi"/>
          <w:lang w:val="it-IT"/>
        </w:rPr>
        <w:t>ng</w:t>
      </w:r>
      <w:r w:rsidR="006C35C9" w:rsidRPr="001F25A2">
        <w:rPr>
          <w:rFonts w:asciiTheme="minorHAnsi" w:eastAsia="Arial" w:hAnsiTheme="minorHAnsi" w:cstheme="minorHAnsi"/>
          <w:spacing w:val="-8"/>
          <w:lang w:val="it-IT"/>
        </w:rPr>
        <w:t xml:space="preserve"> </w:t>
      </w:r>
      <w:r w:rsidR="006C35C9" w:rsidRPr="001F25A2">
        <w:rPr>
          <w:rFonts w:asciiTheme="minorHAnsi" w:eastAsia="Arial" w:hAnsiTheme="minorHAnsi" w:cstheme="minorHAnsi"/>
          <w:lang w:val="it-IT"/>
        </w:rPr>
        <w:t>Chec</w:t>
      </w:r>
      <w:r w:rsidR="006C35C9" w:rsidRPr="001F25A2">
        <w:rPr>
          <w:rFonts w:asciiTheme="minorHAnsi" w:eastAsia="Arial" w:hAnsiTheme="minorHAnsi" w:cstheme="minorHAnsi"/>
          <w:spacing w:val="3"/>
          <w:lang w:val="it-IT"/>
        </w:rPr>
        <w:t>k</w:t>
      </w:r>
      <w:r w:rsidR="006C35C9" w:rsidRPr="001F25A2">
        <w:rPr>
          <w:rFonts w:asciiTheme="minorHAnsi" w:eastAsia="Arial" w:hAnsiTheme="minorHAnsi" w:cstheme="minorHAnsi"/>
          <w:spacing w:val="-1"/>
          <w:lang w:val="it-IT"/>
        </w:rPr>
        <w:t>li</w:t>
      </w:r>
      <w:r w:rsidR="006C35C9" w:rsidRPr="001F25A2">
        <w:rPr>
          <w:rFonts w:asciiTheme="minorHAnsi" w:eastAsia="Arial" w:hAnsiTheme="minorHAnsi" w:cstheme="minorHAnsi"/>
          <w:spacing w:val="1"/>
          <w:lang w:val="it-IT"/>
        </w:rPr>
        <w:t>s</w:t>
      </w:r>
      <w:r w:rsidR="006C35C9" w:rsidRPr="001F25A2">
        <w:rPr>
          <w:rFonts w:asciiTheme="minorHAnsi" w:eastAsia="Arial" w:hAnsiTheme="minorHAnsi" w:cstheme="minorHAnsi"/>
          <w:lang w:val="it-IT"/>
        </w:rPr>
        <w:t>t,</w:t>
      </w:r>
      <w:r w:rsidR="006C35C9" w:rsidRPr="001F25A2">
        <w:rPr>
          <w:rFonts w:asciiTheme="minorHAnsi" w:eastAsia="Arial" w:hAnsiTheme="minorHAnsi" w:cstheme="minorHAnsi"/>
          <w:spacing w:val="-9"/>
          <w:lang w:val="it-IT"/>
        </w:rPr>
        <w:t xml:space="preserve"> </w:t>
      </w:r>
      <w:r w:rsidRPr="001F25A2">
        <w:rPr>
          <w:rFonts w:asciiTheme="minorHAnsi" w:eastAsia="Arial" w:hAnsiTheme="minorHAnsi" w:cstheme="minorHAnsi"/>
          <w:spacing w:val="-1"/>
          <w:lang w:val="it-IT"/>
        </w:rPr>
        <w:t>consultare il sito di</w:t>
      </w:r>
      <w:r w:rsidR="006C35C9" w:rsidRPr="001F25A2">
        <w:rPr>
          <w:rFonts w:asciiTheme="minorHAnsi" w:eastAsia="Arial" w:hAnsiTheme="minorHAnsi" w:cstheme="minorHAnsi"/>
          <w:spacing w:val="-3"/>
          <w:lang w:val="it-IT"/>
        </w:rPr>
        <w:t xml:space="preserve"> </w:t>
      </w:r>
      <w:r w:rsidR="006C35C9" w:rsidRPr="001F25A2">
        <w:rPr>
          <w:rFonts w:asciiTheme="minorHAnsi" w:eastAsia="Arial" w:hAnsiTheme="minorHAnsi" w:cstheme="minorHAnsi"/>
          <w:spacing w:val="1"/>
          <w:lang w:val="it-IT"/>
        </w:rPr>
        <w:t>AG</w:t>
      </w:r>
      <w:r w:rsidR="006C35C9" w:rsidRPr="001F25A2">
        <w:rPr>
          <w:rFonts w:asciiTheme="minorHAnsi" w:eastAsia="Arial" w:hAnsiTheme="minorHAnsi" w:cstheme="minorHAnsi"/>
          <w:lang w:val="it-IT"/>
        </w:rPr>
        <w:t>R</w:t>
      </w:r>
      <w:r w:rsidR="006C35C9" w:rsidRPr="001F25A2">
        <w:rPr>
          <w:rFonts w:asciiTheme="minorHAnsi" w:eastAsia="Arial" w:hAnsiTheme="minorHAnsi" w:cstheme="minorHAnsi"/>
          <w:spacing w:val="-1"/>
          <w:lang w:val="it-IT"/>
        </w:rPr>
        <w:t>E</w:t>
      </w:r>
      <w:r w:rsidR="006C35C9" w:rsidRPr="001F25A2">
        <w:rPr>
          <w:rFonts w:asciiTheme="minorHAnsi" w:eastAsia="Arial" w:hAnsiTheme="minorHAnsi" w:cstheme="minorHAnsi"/>
          <w:lang w:val="it-IT"/>
        </w:rPr>
        <w:t xml:space="preserve">E </w:t>
      </w:r>
      <w:r w:rsidR="006C35C9" w:rsidRPr="001F25A2">
        <w:rPr>
          <w:rFonts w:asciiTheme="minorHAnsi" w:eastAsia="Arial" w:hAnsiTheme="minorHAnsi" w:cstheme="minorHAnsi"/>
          <w:spacing w:val="-1"/>
          <w:lang w:val="it-IT"/>
        </w:rPr>
        <w:t>E</w:t>
      </w:r>
      <w:r w:rsidR="006C35C9" w:rsidRPr="001F25A2">
        <w:rPr>
          <w:rFonts w:asciiTheme="minorHAnsi" w:eastAsia="Arial" w:hAnsiTheme="minorHAnsi" w:cstheme="minorHAnsi"/>
          <w:lang w:val="it-IT"/>
        </w:rPr>
        <w:t>nt</w:t>
      </w:r>
      <w:r w:rsidR="006C35C9" w:rsidRPr="001F25A2">
        <w:rPr>
          <w:rFonts w:asciiTheme="minorHAnsi" w:eastAsia="Arial" w:hAnsiTheme="minorHAnsi" w:cstheme="minorHAnsi"/>
          <w:spacing w:val="-1"/>
          <w:lang w:val="it-IT"/>
        </w:rPr>
        <w:t>e</w:t>
      </w:r>
      <w:r w:rsidR="006C35C9" w:rsidRPr="001F25A2">
        <w:rPr>
          <w:rFonts w:asciiTheme="minorHAnsi" w:eastAsia="Arial" w:hAnsiTheme="minorHAnsi" w:cstheme="minorHAnsi"/>
          <w:spacing w:val="3"/>
          <w:lang w:val="it-IT"/>
        </w:rPr>
        <w:t>r</w:t>
      </w:r>
      <w:r w:rsidR="006C35C9" w:rsidRPr="001F25A2">
        <w:rPr>
          <w:rFonts w:asciiTheme="minorHAnsi" w:eastAsia="Arial" w:hAnsiTheme="minorHAnsi" w:cstheme="minorHAnsi"/>
          <w:lang w:val="it-IT"/>
        </w:rPr>
        <w:t>prise</w:t>
      </w:r>
      <w:r w:rsidRPr="001F25A2">
        <w:rPr>
          <w:rFonts w:asciiTheme="minorHAnsi" w:eastAsia="Arial" w:hAnsiTheme="minorHAnsi" w:cstheme="minorHAnsi"/>
          <w:spacing w:val="-7"/>
          <w:lang w:val="it-IT"/>
        </w:rPr>
        <w:t xml:space="preserve">: </w:t>
      </w:r>
      <w:hyperlink r:id="rId8"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ht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-1"/>
            <w:u w:val="single" w:color="9353C3"/>
            <w:lang w:val="it-IT"/>
          </w:rPr>
          <w:t>t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2"/>
            <w:u w:val="single" w:color="9353C3"/>
            <w:lang w:val="it-IT"/>
          </w:rPr>
          <w:t>p</w:t>
        </w:r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:/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2"/>
            <w:u w:val="single" w:color="9353C3"/>
            <w:lang w:val="it-IT"/>
          </w:rPr>
          <w:t>/</w:t>
        </w:r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www.ag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3"/>
            <w:u w:val="single" w:color="9353C3"/>
            <w:lang w:val="it-IT"/>
          </w:rPr>
          <w:t>r</w:t>
        </w:r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e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-1"/>
            <w:u w:val="single" w:color="9353C3"/>
            <w:lang w:val="it-IT"/>
          </w:rPr>
          <w:t>e</w:t>
        </w:r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tru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1"/>
            <w:u w:val="single" w:color="9353C3"/>
            <w:lang w:val="it-IT"/>
          </w:rPr>
          <w:t>s</w:t>
        </w:r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t.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-1"/>
            <w:u w:val="single" w:color="9353C3"/>
            <w:lang w:val="it-IT"/>
          </w:rPr>
          <w:t>o</w:t>
        </w:r>
        <w:r w:rsidR="006C35C9" w:rsidRPr="001F25A2">
          <w:rPr>
            <w:rFonts w:asciiTheme="minorHAnsi" w:eastAsia="Arial" w:hAnsiTheme="minorHAnsi" w:cstheme="minorHAnsi"/>
            <w:color w:val="9353C3"/>
            <w:spacing w:val="3"/>
            <w:u w:val="single" w:color="9353C3"/>
            <w:lang w:val="it-IT"/>
          </w:rPr>
          <w:t>r</w:t>
        </w:r>
        <w:r w:rsidR="006C35C9" w:rsidRPr="001F25A2">
          <w:rPr>
            <w:rFonts w:asciiTheme="minorHAnsi" w:eastAsia="Arial" w:hAnsiTheme="minorHAnsi" w:cstheme="minorHAnsi"/>
            <w:color w:val="9353C3"/>
            <w:u w:val="single" w:color="9353C3"/>
            <w:lang w:val="it-IT"/>
          </w:rPr>
          <w:t>g</w:t>
        </w:r>
      </w:hyperlink>
    </w:p>
    <w:p w:rsidR="00741D9B" w:rsidRPr="001F25A2" w:rsidRDefault="00741D9B">
      <w:pPr>
        <w:spacing w:before="8" w:line="240" w:lineRule="exact"/>
        <w:rPr>
          <w:rFonts w:asciiTheme="minorHAnsi" w:hAnsiTheme="minorHAnsi" w:cstheme="minorHAnsi"/>
          <w:sz w:val="24"/>
          <w:szCs w:val="24"/>
          <w:lang w:val="it-IT"/>
        </w:rPr>
      </w:pPr>
    </w:p>
    <w:tbl>
      <w:tblPr>
        <w:tblW w:w="0" w:type="auto"/>
        <w:tblInd w:w="98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005"/>
        <w:gridCol w:w="1066"/>
      </w:tblGrid>
      <w:tr w:rsidR="00741D9B" w:rsidRPr="001F25A2" w:rsidTr="00EA535A">
        <w:trPr>
          <w:trHeight w:hRule="exact" w:val="340"/>
        </w:trPr>
        <w:tc>
          <w:tcPr>
            <w:tcW w:w="274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EBF5"/>
          </w:tcPr>
          <w:p w:rsidR="00741D9B" w:rsidRPr="001F25A2" w:rsidRDefault="00DB2223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F25A2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DESCRIZIONE DELL’</w:t>
            </w:r>
            <w:r w:rsidR="006C35C9" w:rsidRPr="001F25A2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="006C35C9" w:rsidRPr="001F25A2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="006C35C9" w:rsidRPr="001F25A2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E</w:t>
            </w:r>
            <w:r w:rsidR="006C35C9" w:rsidRPr="001F25A2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EBF5"/>
          </w:tcPr>
          <w:p w:rsidR="00741D9B" w:rsidRPr="001F25A2" w:rsidRDefault="006C35C9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F25A2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C</w:t>
            </w:r>
            <w:r w:rsidRPr="001F25A2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R</w:t>
            </w:r>
            <w:r w:rsidRPr="001F25A2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Pr="001F25A2">
              <w:rPr>
                <w:rFonts w:asciiTheme="minorHAnsi" w:eastAsia="Arial" w:hAnsiTheme="minorHAnsi" w:cstheme="minorHAnsi"/>
                <w:b/>
                <w:spacing w:val="-2"/>
                <w:sz w:val="21"/>
                <w:szCs w:val="21"/>
              </w:rPr>
              <w:t>TE</w:t>
            </w:r>
            <w:r w:rsidRPr="001F25A2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RI</w:t>
            </w:r>
            <w:r w:rsidR="00DB2223" w:rsidRPr="001F25A2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 xml:space="preserve"> PER IL R</w:t>
            </w:r>
            <w:r w:rsidR="00DB2223" w:rsidRPr="001F25A2">
              <w:rPr>
                <w:rFonts w:asciiTheme="minorHAnsi" w:eastAsia="Arial" w:hAnsiTheme="minorHAnsi" w:cstheme="minorHAnsi"/>
                <w:b/>
                <w:spacing w:val="-2"/>
                <w:sz w:val="21"/>
                <w:szCs w:val="21"/>
              </w:rPr>
              <w:t>E</w:t>
            </w:r>
            <w:r w:rsidR="00DB2223" w:rsidRPr="001F25A2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P</w:t>
            </w:r>
            <w:r w:rsidR="00DB2223" w:rsidRPr="001F25A2">
              <w:rPr>
                <w:rFonts w:asciiTheme="minorHAnsi" w:eastAsia="Arial" w:hAnsiTheme="minorHAnsi" w:cstheme="minorHAnsi"/>
                <w:b/>
                <w:spacing w:val="-4"/>
                <w:sz w:val="21"/>
                <w:szCs w:val="21"/>
              </w:rPr>
              <w:t>O</w:t>
            </w:r>
            <w:r w:rsidR="00DB2223" w:rsidRPr="001F25A2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R</w:t>
            </w:r>
            <w:r w:rsidR="00DB2223" w:rsidRPr="001F25A2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="00DB2223" w:rsidRPr="001F25A2">
              <w:rPr>
                <w:rFonts w:asciiTheme="minorHAnsi" w:eastAsia="Arial" w:hAnsiTheme="minorHAnsi" w:cstheme="minorHAnsi"/>
                <w:b/>
                <w:spacing w:val="-3"/>
                <w:sz w:val="21"/>
                <w:szCs w:val="21"/>
              </w:rPr>
              <w:t>I</w:t>
            </w:r>
            <w:r w:rsidR="00DB2223" w:rsidRPr="001F25A2">
              <w:rPr>
                <w:rFonts w:asciiTheme="minorHAnsi" w:eastAsia="Arial" w:hAnsiTheme="minorHAnsi" w:cstheme="minorHAnsi"/>
                <w:b/>
                <w:spacing w:val="3"/>
                <w:sz w:val="21"/>
                <w:szCs w:val="21"/>
              </w:rPr>
              <w:t>N</w:t>
            </w:r>
            <w:r w:rsidR="00DB2223" w:rsidRPr="001F25A2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G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FEBF5"/>
          </w:tcPr>
          <w:p w:rsidR="00741D9B" w:rsidRPr="001F25A2" w:rsidRDefault="006C35C9" w:rsidP="00EF19D3">
            <w:pPr>
              <w:ind w:left="141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1F25A2">
              <w:rPr>
                <w:rFonts w:asciiTheme="minorHAnsi" w:eastAsia="Arial" w:hAnsiTheme="minorHAnsi" w:cstheme="minorHAnsi"/>
                <w:b/>
                <w:spacing w:val="3"/>
                <w:sz w:val="21"/>
                <w:szCs w:val="21"/>
              </w:rPr>
              <w:t>P</w:t>
            </w:r>
            <w:r w:rsidRPr="001F25A2">
              <w:rPr>
                <w:rFonts w:asciiTheme="minorHAnsi" w:eastAsia="Arial" w:hAnsiTheme="minorHAnsi" w:cstheme="minorHAnsi"/>
                <w:b/>
                <w:spacing w:val="-6"/>
                <w:sz w:val="21"/>
                <w:szCs w:val="21"/>
              </w:rPr>
              <w:t>A</w:t>
            </w:r>
            <w:r w:rsidRPr="001F25A2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G</w:t>
            </w:r>
            <w:r w:rsidR="00DB2223" w:rsidRPr="001F25A2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. N°</w:t>
            </w:r>
          </w:p>
        </w:tc>
      </w:tr>
      <w:tr w:rsidR="00741D9B" w:rsidRPr="000A5665" w:rsidTr="00EA535A">
        <w:trPr>
          <w:trHeight w:hRule="exact" w:val="307"/>
        </w:trPr>
        <w:tc>
          <w:tcPr>
            <w:tcW w:w="9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6C35C9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Pr="000A5665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E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1: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="001F25A2"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ARGOMENTO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741D9B" w:rsidP="00EF19D3">
            <w:pPr>
              <w:rPr>
                <w:rFonts w:asciiTheme="minorHAnsi" w:hAnsiTheme="minorHAnsi" w:cstheme="minorHAnsi"/>
              </w:rPr>
            </w:pPr>
          </w:p>
        </w:tc>
      </w:tr>
      <w:tr w:rsidR="00741D9B" w:rsidRPr="000A5665" w:rsidTr="00EA535A">
        <w:trPr>
          <w:trHeight w:hRule="exact" w:val="567"/>
        </w:trPr>
        <w:tc>
          <w:tcPr>
            <w:tcW w:w="2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1D9B" w:rsidRPr="001F25A2" w:rsidRDefault="001F25A2" w:rsidP="00EF19D3">
            <w:pPr>
              <w:ind w:left="102" w:right="239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bookmarkStart w:id="0" w:name="_GoBack" w:colFirst="1" w:colLast="2"/>
            <w:r w:rsidRPr="001F25A2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Descrivere il problema del sistema sanitario, le relative motivazioni e priorità e la rilevanza della guidance.</w:t>
            </w: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D9B" w:rsidRPr="001F25A2" w:rsidRDefault="001F25A2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I</w:t>
            </w:r>
            <w:r w:rsidRPr="001F25A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l problema del sistema sanitario è descritto chiaramente (es. razionale; entità, frequenza o intensità; popolazione coinvolta).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bookmarkEnd w:id="0"/>
      <w:tr w:rsidR="00741D9B" w:rsidRPr="000A5665" w:rsidTr="00EA535A">
        <w:trPr>
          <w:trHeight w:hRule="exact" w:val="34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D9B" w:rsidRPr="00EA535A" w:rsidRDefault="001F25A2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</w:pPr>
            <w:r w:rsidRPr="00EA535A"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  <w:t>Le motivazioni del problema del sistema sanitario sono chiaramente descritte.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85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D9B" w:rsidRPr="001F25A2" w:rsidRDefault="001F25A2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1F25A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Il problema del sistema sanitario è descritto in termini di livello di priorità per il sistema sanitario target e per la popolazione coinvolta; vengono forniti argomenti a supporto della priorità assegnata.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850"/>
        </w:trPr>
        <w:tc>
          <w:tcPr>
            <w:tcW w:w="2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741D9B" w:rsidRPr="00EA535A" w:rsidRDefault="001F25A2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</w:pPr>
            <w:r w:rsidRPr="00EA535A"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  <w:t xml:space="preserve">Le </w:t>
            </w:r>
            <w:r w:rsidRPr="00EA535A">
              <w:rPr>
                <w:rFonts w:asciiTheme="minorHAnsi" w:eastAsia="Arial" w:hAnsiTheme="minorHAnsi" w:cstheme="minorHAnsi"/>
                <w:i/>
                <w:spacing w:val="-4"/>
                <w:sz w:val="21"/>
                <w:szCs w:val="21"/>
                <w:lang w:val="it-IT"/>
              </w:rPr>
              <w:t>guidance</w:t>
            </w:r>
            <w:r w:rsidRPr="00EA535A"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  <w:t xml:space="preserve"> sono rilevanti (es. tempestiva rispetto alle decisioni da prendere e appropriate rispetto al problema del sistema sanitario, le necessità del sistema o dei sotto-sistemi, la popolazione/i target e il setting in cui verranno applicate.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1F25A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17"/>
        </w:trPr>
        <w:tc>
          <w:tcPr>
            <w:tcW w:w="9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6C35C9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Pr="000A5665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E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2: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0A5665">
              <w:rPr>
                <w:rFonts w:asciiTheme="minorHAnsi" w:eastAsia="Arial" w:hAnsiTheme="minorHAnsi" w:cstheme="minorHAnsi"/>
                <w:b/>
                <w:spacing w:val="-2"/>
                <w:sz w:val="21"/>
                <w:szCs w:val="21"/>
              </w:rPr>
              <w:t>P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A</w:t>
            </w:r>
            <w:r w:rsidRPr="000A5665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R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="002A624D" w:rsidRPr="000A5665">
              <w:rPr>
                <w:rFonts w:asciiTheme="minorHAnsi" w:eastAsia="Arial" w:hAnsiTheme="minorHAnsi" w:cstheme="minorHAnsi"/>
                <w:b/>
                <w:spacing w:val="-3"/>
                <w:sz w:val="21"/>
                <w:szCs w:val="21"/>
              </w:rPr>
              <w:t>ECIPANTI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741D9B" w:rsidP="00EF19D3">
            <w:pPr>
              <w:rPr>
                <w:rFonts w:asciiTheme="minorHAnsi" w:hAnsiTheme="minorHAnsi" w:cstheme="minorHAnsi"/>
              </w:rPr>
            </w:pPr>
          </w:p>
        </w:tc>
      </w:tr>
      <w:tr w:rsidR="00741D9B" w:rsidRPr="000A5665" w:rsidTr="00EA535A">
        <w:trPr>
          <w:trHeight w:hRule="exact" w:val="815"/>
        </w:trPr>
        <w:tc>
          <w:tcPr>
            <w:tcW w:w="2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2A624D" w:rsidRPr="002A624D" w:rsidRDefault="002A624D" w:rsidP="00EF19D3">
            <w:pPr>
              <w:ind w:left="102" w:right="239"/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</w:pPr>
            <w:r w:rsidRPr="002A624D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Composizione del team di elaborazione delle guidance, gestione dei conflitti di interesse e influenza dei finanziatori.</w:t>
            </w:r>
          </w:p>
          <w:p w:rsidR="00741D9B" w:rsidRPr="002A624D" w:rsidRDefault="00741D9B" w:rsidP="00EF19D3">
            <w:pPr>
              <w:ind w:left="102" w:right="110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BF2AF6" w:rsidRDefault="00205FC1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Il team che ha sviluppato la </w:t>
            </w:r>
            <w:r w:rsidRPr="00205FC1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guidance</w:t>
            </w: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 include membri che hanno un interesse o un coinvolgimento nella formulazione delle raccomandazioni (es. decisori, direttori della programmazione, dirigenti operativi, cittadini e pazienti)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624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205FC1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Il team che ha sviluppato la </w:t>
            </w:r>
            <w:r w:rsidRPr="00205FC1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guidance</w:t>
            </w: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 è multidisciplinare (es. esperti di scienze politiche, economisti, epidemiologi, metodologi).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8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205FC1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Il team che ha sviluppato la </w:t>
            </w:r>
            <w:r w:rsidRPr="00205FC1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guidance</w:t>
            </w: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 è multisettoriale (es. cure primarie, sanità pubblica e, se appropriato, finanza, edilizia sanitaria).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85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BF2AF6" w:rsidRDefault="00205FC1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I conflitti di interesse (es. finanziari, professionali) dei membri del team che ha sviluppato la guidance e le strategie utilizzate per identificarli e gestirli, sono chiaramente descritti.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BF2AF6" w:rsidRDefault="00205FC1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205FC1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Sono state messe in atto adeguate contromisure per evitare o minimizzare l'influenza dei finanziatori.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205FC1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20"/>
        </w:trPr>
        <w:tc>
          <w:tcPr>
            <w:tcW w:w="9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6C35C9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Pr="000A5665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E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3: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="00C43E26"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METODI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741D9B" w:rsidP="00EF19D3">
            <w:pPr>
              <w:rPr>
                <w:rFonts w:asciiTheme="minorHAnsi" w:hAnsiTheme="minorHAnsi" w:cstheme="minorHAnsi"/>
              </w:rPr>
            </w:pPr>
          </w:p>
        </w:tc>
      </w:tr>
      <w:tr w:rsidR="00EA535A" w:rsidRPr="000A5665" w:rsidTr="00EA535A">
        <w:trPr>
          <w:trHeight w:hRule="exact" w:val="854"/>
        </w:trPr>
        <w:tc>
          <w:tcPr>
            <w:tcW w:w="2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EA535A" w:rsidRPr="00EF19D3" w:rsidRDefault="00EA535A" w:rsidP="00EF19D3">
            <w:pPr>
              <w:ind w:left="102" w:right="110"/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</w:pPr>
            <w:r w:rsidRPr="00EF19D3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Il reporting deve essere trasparente e utilizzare metodi sistematici, deve basarsi sulle migliori e più recenti evidenze disponibili, sulla considerazione dell’efficacia e della costo-efficacia delle potenziali opzioni e analizzare rischi e benefici delle guidance.</w:t>
            </w: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Sono stati usati metodi sistematici e trasparenti per identificare ed esaminare le evidenze (es. </w:t>
            </w:r>
            <w:proofErr w:type="spellStart"/>
            <w:r w:rsidRPr="00C43E26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integrated</w:t>
            </w:r>
            <w:proofErr w:type="spellEnd"/>
            <w:r w:rsidRPr="00C43E26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 xml:space="preserve"> review</w:t>
            </w: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, </w:t>
            </w:r>
            <w:proofErr w:type="spellStart"/>
            <w:r w:rsidRPr="00C43E26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scoping</w:t>
            </w:r>
            <w:proofErr w:type="spellEnd"/>
            <w:r w:rsidRPr="00C43E26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 xml:space="preserve"> review</w:t>
            </w: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, revisione della letteratura grigia, revisione sistematica).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A535A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Sono state considerate le migliori evidenze disponibili e contestualmente rilevanti.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A535A" w:rsidRPr="001F25A2" w:rsidTr="00EA535A">
        <w:trPr>
          <w:trHeight w:hRule="exact" w:val="34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1F25A2" w:rsidRDefault="00EA535A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Le </w:t>
            </w:r>
            <w:proofErr w:type="spellStart"/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>evidenze</w:t>
            </w:r>
            <w:proofErr w:type="spellEnd"/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>sono</w:t>
            </w:r>
            <w:proofErr w:type="spellEnd"/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 xml:space="preserve"> </w:t>
            </w:r>
            <w:proofErr w:type="spellStart"/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>aggiornate</w:t>
            </w:r>
            <w:proofErr w:type="spellEnd"/>
            <w:r w:rsidRPr="00C43E26">
              <w:rPr>
                <w:rFonts w:asciiTheme="minorHAnsi" w:eastAsia="Arial" w:hAnsiTheme="minorHAnsi" w:cstheme="minorHAnsi"/>
                <w:sz w:val="21"/>
                <w:szCs w:val="21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1F25A2" w:rsidRDefault="00EA535A" w:rsidP="00EF19D3">
            <w:pPr>
              <w:rPr>
                <w:rFonts w:asciiTheme="minorHAnsi" w:hAnsiTheme="minorHAnsi" w:cstheme="minorHAnsi"/>
              </w:rPr>
            </w:pPr>
          </w:p>
        </w:tc>
      </w:tr>
      <w:tr w:rsidR="00EA535A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EA535A" w:rsidRPr="001F25A2" w:rsidRDefault="00EA535A" w:rsidP="00EF19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Le prove di </w:t>
            </w:r>
            <w:r w:rsidRPr="000A5665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efficacia</w:t>
            </w: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 delle potenziali opzioni sono chiaramente descritte, inclusa la descrizione dei contesti in cui tali opzioni sono state valutate.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EA535A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1F25A2" w:rsidRDefault="00EA535A" w:rsidP="00EF19D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Sono riportate le evidenze relative ai costi e alla costo-efficacia delle potenziali opzioni.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EA535A" w:rsidRPr="00C43E26" w:rsidRDefault="00EA535A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EA535A" w:rsidRPr="00EA535A" w:rsidRDefault="00EA535A">
      <w:pPr>
        <w:spacing w:before="5" w:line="180" w:lineRule="exact"/>
        <w:rPr>
          <w:rFonts w:asciiTheme="minorHAnsi" w:hAnsiTheme="minorHAnsi" w:cstheme="minorHAnsi"/>
          <w:sz w:val="2"/>
          <w:szCs w:val="2"/>
          <w:lang w:val="it-IT"/>
        </w:rPr>
      </w:pPr>
    </w:p>
    <w:p w:rsidR="00741D9B" w:rsidRPr="00EA535A" w:rsidRDefault="00741D9B" w:rsidP="00EA535A">
      <w:pPr>
        <w:rPr>
          <w:rFonts w:asciiTheme="minorHAnsi" w:eastAsia="Palatino Linotype" w:hAnsiTheme="minorHAnsi" w:cstheme="minorHAnsi"/>
          <w:sz w:val="2"/>
          <w:szCs w:val="2"/>
        </w:rPr>
        <w:sectPr w:rsidR="00741D9B" w:rsidRPr="00EA535A" w:rsidSect="00EA535A">
          <w:footerReference w:type="default" r:id="rId9"/>
          <w:pgSz w:w="12240" w:h="15840"/>
          <w:pgMar w:top="640" w:right="620" w:bottom="280" w:left="580" w:header="720" w:footer="405" w:gutter="0"/>
          <w:cols w:space="720"/>
        </w:sectPr>
      </w:pPr>
    </w:p>
    <w:p w:rsidR="00741D9B" w:rsidRPr="001F25A2" w:rsidRDefault="00741D9B">
      <w:pPr>
        <w:spacing w:before="1" w:line="80" w:lineRule="exact"/>
        <w:rPr>
          <w:rFonts w:asciiTheme="minorHAnsi" w:hAnsiTheme="minorHAnsi" w:cstheme="minorHAnsi"/>
          <w:sz w:val="9"/>
          <w:szCs w:val="9"/>
        </w:rPr>
      </w:pPr>
    </w:p>
    <w:tbl>
      <w:tblPr>
        <w:tblW w:w="0" w:type="auto"/>
        <w:tblInd w:w="100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1E0" w:firstRow="1" w:lastRow="1" w:firstColumn="1" w:lastColumn="1" w:noHBand="0" w:noVBand="0"/>
      </w:tblPr>
      <w:tblGrid>
        <w:gridCol w:w="2748"/>
        <w:gridCol w:w="7005"/>
        <w:gridCol w:w="1066"/>
      </w:tblGrid>
      <w:tr w:rsidR="00741D9B" w:rsidRPr="000A5665" w:rsidTr="00EA535A">
        <w:trPr>
          <w:trHeight w:hRule="exact" w:val="309"/>
        </w:trPr>
        <w:tc>
          <w:tcPr>
            <w:tcW w:w="2748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C43E26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Sono descritti rischi e benefici delle potenziali opzioni.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72"/>
        </w:trPr>
        <w:tc>
          <w:tcPr>
            <w:tcW w:w="2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C43E26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Esiste un collegamento tra raccomandazioni ed evidenze.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70"/>
        </w:trPr>
        <w:tc>
          <w:tcPr>
            <w:tcW w:w="2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C43E26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Il razionale dalle raccomandazioni è chiaro.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855"/>
        </w:trPr>
        <w:tc>
          <w:tcPr>
            <w:tcW w:w="274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C43E26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Sono stati </w:t>
            </w: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utilizzati</w:t>
            </w:r>
            <w:r w:rsidRPr="00C43E26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 xml:space="preserve"> metodi sistematici e trasparenti per raggiungere il consenso sulle raccomandazioni finali (es. consenso informale o formale, metodo Delphi, metodi del gruppo nominale).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C43E26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18"/>
        </w:trPr>
        <w:tc>
          <w:tcPr>
            <w:tcW w:w="9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6C35C9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Pr="000A5665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E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4: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="00A74275"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RACCOMANDAZIONI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741D9B" w:rsidP="00EF19D3">
            <w:pPr>
              <w:rPr>
                <w:rFonts w:asciiTheme="minorHAnsi" w:hAnsiTheme="minorHAnsi" w:cstheme="minorHAnsi"/>
              </w:rPr>
            </w:pPr>
          </w:p>
        </w:tc>
      </w:tr>
      <w:tr w:rsidR="00741D9B" w:rsidRPr="000A5665" w:rsidTr="00EA535A">
        <w:trPr>
          <w:trHeight w:val="680"/>
        </w:trPr>
        <w:tc>
          <w:tcPr>
            <w:tcW w:w="2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ind w:left="102" w:right="110"/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</w:pPr>
            <w:r w:rsidRPr="00A74275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Orientamento degli outcome e l’esaustività delle guidance; considerazioni etiche e di equità incluse nello sviluppo; dettagli per la sua implementazione; allineamento socioculturale e politico della guidance; piano di aggiornamento.</w:t>
            </w: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Gli outcome previsti dall’implementazione delle raccomandazioni sono chiaramente descritti (inclusi indicatori, soglie o target di performance, standard per misurarli).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val="17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Le raccomandazioni sono esaustive e forniscono indicazioni pertinenti a tutti i livelli del sistema sanitario (es. nazionale, regionale, locale), ambiti clinici (es. oncologia, salute mentale) e settori (es. cure primarie, sanità pubblica).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4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Sono descritti i principi etici utilizzati per sviluppare le raccomandazioni.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85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A74275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Le raccomandazioni promuovono l'equità di accesso alla popolazione target (es. in termini di età, sesso, genere, cultura, religione, razza, orientamento sessuale)</w:t>
            </w:r>
            <w:r w:rsidR="00EF19D3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624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Sono stati considerati l'accettabilità delle raccomandazioni e l'allineamento con gli interessi socioculturali e politici.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44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Le raccomandazioni sono facilmente identificabili, chiare e concise.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624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A74275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Le raccomandazioni sono attuabili e sufficientemente dettagliate per essere implementate nella pratica.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56"/>
        </w:trPr>
        <w:tc>
          <w:tcPr>
            <w:tcW w:w="2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A74275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503AE" w:rsidRDefault="00D503AE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503AE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È previsto un piano di aggiornamento delle raccomandazioni.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503AE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17"/>
        </w:trPr>
        <w:tc>
          <w:tcPr>
            <w:tcW w:w="975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6C35C9" w:rsidP="00EF19D3">
            <w:pPr>
              <w:ind w:left="102"/>
              <w:rPr>
                <w:rFonts w:asciiTheme="minorHAnsi" w:eastAsia="Arial" w:hAnsiTheme="minorHAnsi" w:cstheme="minorHAnsi"/>
                <w:sz w:val="21"/>
                <w:szCs w:val="21"/>
              </w:rPr>
            </w:pP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T</w:t>
            </w:r>
            <w:r w:rsidRPr="000A5665">
              <w:rPr>
                <w:rFonts w:asciiTheme="minorHAnsi" w:eastAsia="Arial" w:hAnsiTheme="minorHAnsi" w:cstheme="minorHAnsi"/>
                <w:b/>
                <w:spacing w:val="1"/>
                <w:sz w:val="21"/>
                <w:szCs w:val="21"/>
              </w:rPr>
              <w:t>E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M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Pr="000A5665">
              <w:rPr>
                <w:rFonts w:asciiTheme="minorHAnsi" w:eastAsia="Arial" w:hAnsiTheme="minorHAnsi" w:cstheme="minorHAnsi"/>
                <w:b/>
                <w:sz w:val="21"/>
                <w:szCs w:val="21"/>
              </w:rPr>
              <w:t>5:</w:t>
            </w:r>
            <w:r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 xml:space="preserve"> </w:t>
            </w:r>
            <w:r w:rsidR="00F82E50" w:rsidRPr="000A5665">
              <w:rPr>
                <w:rFonts w:asciiTheme="minorHAnsi" w:eastAsia="Arial" w:hAnsiTheme="minorHAnsi" w:cstheme="minorHAnsi"/>
                <w:b/>
                <w:spacing w:val="-1"/>
                <w:sz w:val="21"/>
                <w:szCs w:val="21"/>
              </w:rPr>
              <w:t>IMPLEMENTAZIONE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9FC3E2"/>
          </w:tcPr>
          <w:p w:rsidR="00741D9B" w:rsidRPr="000A5665" w:rsidRDefault="00741D9B" w:rsidP="00EF19D3">
            <w:pPr>
              <w:rPr>
                <w:rFonts w:asciiTheme="minorHAnsi" w:hAnsiTheme="minorHAnsi" w:cstheme="minorHAnsi"/>
              </w:rPr>
            </w:pPr>
          </w:p>
        </w:tc>
      </w:tr>
      <w:tr w:rsidR="00741D9B" w:rsidRPr="000A5665" w:rsidTr="00EA535A">
        <w:trPr>
          <w:trHeight w:hRule="exact" w:val="1361"/>
        </w:trPr>
        <w:tc>
          <w:tcPr>
            <w:tcW w:w="274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ind w:left="102" w:right="110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F82E50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 xml:space="preserve">Ostacoli e fattori facilitanti all’implementazione delle raccomandazioni; considerazioni su costi e risorse per l’implementazione; sostenibilità complessiva dell’implementazione e la sostenibilità attesa dei risultati; flessibilità e trasferibilità delle guidance; strategie di disseminazione, monitoraggio dell’implementazione e valutazione d’impatto delle </w:t>
            </w:r>
            <w:proofErr w:type="spellStart"/>
            <w:r w:rsidRPr="00F82E50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guidance</w:t>
            </w:r>
            <w:proofErr w:type="spellEnd"/>
            <w:r w:rsidRPr="00F82E50">
              <w:rPr>
                <w:rFonts w:asciiTheme="minorHAnsi" w:eastAsia="Arial" w:hAnsiTheme="minorHAnsi" w:cstheme="minorHAnsi"/>
                <w:i/>
                <w:sz w:val="21"/>
                <w:szCs w:val="21"/>
                <w:lang w:val="it-IT"/>
              </w:rPr>
              <w:t>.</w:t>
            </w: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F82E50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Vengono descritti ostacoli e fattori facilitanti per l’implementazione delle raccomandazioni, inclusi quelli interni (es. risorse, incentivi, struttura amministrativa) ed esterni (es. sistema giuridico, sistema sociale, status dell’economica, corruzione, credenze) al sistema sanitario. È incluso un piano per mitigare gli ostacoli e favorire i fattori facilitanti.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85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F82E50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Vengono considerati costi e risorse per l’attuazione delle raccomandazioni (es. denaro, tempo, infrastrutture, attrezzature, supporto amministrativo, forniture, personale e formazione)</w:t>
            </w:r>
            <w:r w:rsid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40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EA535A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</w:pPr>
            <w:r w:rsidRPr="00EA535A">
              <w:rPr>
                <w:rFonts w:asciiTheme="minorHAnsi" w:eastAsia="Arial" w:hAnsiTheme="minorHAnsi" w:cstheme="minorHAnsi"/>
                <w:spacing w:val="-4"/>
                <w:sz w:val="21"/>
                <w:szCs w:val="21"/>
                <w:lang w:val="it-IT"/>
              </w:rPr>
              <w:t>Viene descritta l'accettabilità delle raccomandazioni da parte degli stakeholder.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Viene descritta la sostenibilità delle raccomandazioni, nel contesto in cui verranno implementate.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Vengono descritti la sostenibilità ed i requisiti per mantenere gli outcome nel lungo periodo.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86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Le raccomandazioni sono flessibili e vi è una descrizione delle modalità per adattarle ai contesti specifici in cui saranno implementate.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F82E50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Viene fornita una descrizione del grado di trasferibilità delle raccomandazioni a contesti simili o diversi.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346"/>
        </w:trPr>
        <w:tc>
          <w:tcPr>
            <w:tcW w:w="274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741D9B" w:rsidRPr="00F82E50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D3A22" w:rsidRDefault="00DD3A22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Vengono descritte le strategie per diffondere le guidance.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D3A2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741D9B" w:rsidRPr="000A5665" w:rsidTr="00EA535A">
        <w:trPr>
          <w:trHeight w:hRule="exact" w:val="567"/>
        </w:trPr>
        <w:tc>
          <w:tcPr>
            <w:tcW w:w="274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D3A2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7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D3A22" w:rsidRDefault="00DD3A22" w:rsidP="00EF19D3">
            <w:pPr>
              <w:pStyle w:val="Paragrafoelenco"/>
              <w:numPr>
                <w:ilvl w:val="0"/>
                <w:numId w:val="2"/>
              </w:numPr>
              <w:ind w:hanging="241"/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</w:pPr>
            <w:r w:rsidRPr="00DD3A22">
              <w:rPr>
                <w:rFonts w:asciiTheme="minorHAnsi" w:eastAsia="Arial" w:hAnsiTheme="minorHAnsi" w:cstheme="minorHAnsi"/>
                <w:sz w:val="21"/>
                <w:szCs w:val="21"/>
                <w:lang w:val="it-IT"/>
              </w:rPr>
              <w:t>Vengono descritte le strategie per valutare il processo di implementazione e l’impatto delle raccomandazioni.</w:t>
            </w:r>
          </w:p>
        </w:tc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41D9B" w:rsidRPr="00DD3A22" w:rsidRDefault="00741D9B" w:rsidP="00EF19D3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:rsidR="00741D9B" w:rsidRPr="00EA535A" w:rsidRDefault="00741D9B" w:rsidP="00EA535A">
      <w:pPr>
        <w:spacing w:before="19" w:line="220" w:lineRule="exact"/>
        <w:rPr>
          <w:rFonts w:asciiTheme="minorHAnsi" w:hAnsiTheme="minorHAnsi" w:cstheme="minorHAnsi"/>
          <w:sz w:val="2"/>
          <w:szCs w:val="2"/>
          <w:lang w:val="it-IT"/>
        </w:rPr>
      </w:pPr>
    </w:p>
    <w:sectPr w:rsidR="00741D9B" w:rsidRPr="00EA535A">
      <w:footerReference w:type="default" r:id="rId10"/>
      <w:pgSz w:w="12240" w:h="15840"/>
      <w:pgMar w:top="640" w:right="62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45" w:rsidRDefault="00EC3045" w:rsidP="00EA535A">
      <w:r>
        <w:separator/>
      </w:r>
    </w:p>
  </w:endnote>
  <w:endnote w:type="continuationSeparator" w:id="0">
    <w:p w:rsidR="00EC3045" w:rsidRDefault="00EC3045" w:rsidP="00EA5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5A" w:rsidRPr="00EA535A" w:rsidRDefault="00EA535A" w:rsidP="00EA535A">
    <w:pPr>
      <w:pStyle w:val="Pidipagina"/>
      <w:rPr>
        <w:rFonts w:asciiTheme="minorHAnsi" w:hAnsiTheme="minorHAnsi" w:cstheme="minorHAnsi"/>
        <w:sz w:val="22"/>
        <w:szCs w:val="24"/>
      </w:rPr>
    </w:pPr>
    <w:r>
      <w:rPr>
        <w:rFonts w:asciiTheme="minorHAnsi" w:hAnsiTheme="minorHAnsi" w:cstheme="minorHAnsi"/>
        <w:sz w:val="22"/>
        <w:szCs w:val="24"/>
      </w:rPr>
      <w:tab/>
    </w:r>
    <w:r>
      <w:rPr>
        <w:rFonts w:asciiTheme="minorHAnsi" w:hAnsiTheme="minorHAnsi" w:cstheme="minorHAnsi"/>
        <w:sz w:val="22"/>
        <w:szCs w:val="24"/>
      </w:rPr>
      <w:tab/>
    </w:r>
    <w:r>
      <w:rPr>
        <w:rFonts w:asciiTheme="minorHAnsi" w:hAnsiTheme="minorHAnsi" w:cstheme="minorHAnsi"/>
        <w:sz w:val="22"/>
        <w:szCs w:val="24"/>
      </w:rPr>
      <w:tab/>
      <w:t xml:space="preserve">                  </w:t>
    </w:r>
    <w:r w:rsidRPr="00EA535A">
      <w:rPr>
        <w:rFonts w:asciiTheme="minorHAnsi" w:hAnsiTheme="minorHAnsi" w:cstheme="minorHAnsi"/>
        <w:sz w:val="22"/>
        <w:szCs w:val="24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35A" w:rsidRPr="00EA535A" w:rsidRDefault="00EA535A" w:rsidP="00EA535A">
    <w:pPr>
      <w:pStyle w:val="Pidipagina"/>
      <w:jc w:val="right"/>
      <w:rPr>
        <w:rFonts w:asciiTheme="minorHAnsi" w:hAnsiTheme="minorHAnsi" w:cstheme="minorHAnsi"/>
        <w:sz w:val="24"/>
        <w:szCs w:val="24"/>
      </w:rPr>
    </w:pPr>
    <w:r w:rsidRPr="00EA535A">
      <w:rPr>
        <w:rFonts w:asciiTheme="minorHAnsi" w:hAnsiTheme="minorHAnsi" w:cstheme="minorHAnsi"/>
        <w:sz w:val="24"/>
        <w:szCs w:val="24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45" w:rsidRDefault="00EC3045" w:rsidP="00EA535A">
      <w:r>
        <w:separator/>
      </w:r>
    </w:p>
  </w:footnote>
  <w:footnote w:type="continuationSeparator" w:id="0">
    <w:p w:rsidR="00EC3045" w:rsidRDefault="00EC3045" w:rsidP="00EA5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1.3pt;height:11.3pt" o:bullet="t">
        <v:imagedata r:id="rId1" o:title="mso8C7D"/>
      </v:shape>
    </w:pict>
  </w:numPicBullet>
  <w:abstractNum w:abstractNumId="0" w15:restartNumberingAfterBreak="0">
    <w:nsid w:val="22C63358"/>
    <w:multiLevelType w:val="hybridMultilevel"/>
    <w:tmpl w:val="90BCF11C"/>
    <w:lvl w:ilvl="0" w:tplc="0BC24F80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D8C0DA6"/>
    <w:multiLevelType w:val="hybridMultilevel"/>
    <w:tmpl w:val="A96AC09A"/>
    <w:lvl w:ilvl="0" w:tplc="C0AE57E8">
      <w:numFmt w:val="bullet"/>
      <w:lvlText w:val="•"/>
      <w:lvlJc w:val="left"/>
      <w:pPr>
        <w:ind w:left="820" w:hanging="60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" w15:restartNumberingAfterBreak="0">
    <w:nsid w:val="7EC47254"/>
    <w:multiLevelType w:val="multilevel"/>
    <w:tmpl w:val="A0EAC32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D9B"/>
    <w:rsid w:val="000A5665"/>
    <w:rsid w:val="001F25A2"/>
    <w:rsid w:val="00205FC1"/>
    <w:rsid w:val="002A624D"/>
    <w:rsid w:val="006C35C9"/>
    <w:rsid w:val="00741D9B"/>
    <w:rsid w:val="00750679"/>
    <w:rsid w:val="00863177"/>
    <w:rsid w:val="009650A4"/>
    <w:rsid w:val="00A634C3"/>
    <w:rsid w:val="00A74275"/>
    <w:rsid w:val="00BF2AF6"/>
    <w:rsid w:val="00C43E26"/>
    <w:rsid w:val="00D503AE"/>
    <w:rsid w:val="00DB2223"/>
    <w:rsid w:val="00DD3A22"/>
    <w:rsid w:val="00EA535A"/>
    <w:rsid w:val="00EC3045"/>
    <w:rsid w:val="00EF19D3"/>
    <w:rsid w:val="00F8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83345"/>
  <w15:docId w15:val="{76C0B890-6ADB-4E35-B995-F26EE43D7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F25A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A535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35A"/>
  </w:style>
  <w:style w:type="paragraph" w:styleId="Pidipagina">
    <w:name w:val="footer"/>
    <w:basedOn w:val="Normale"/>
    <w:link w:val="PidipaginaCarattere"/>
    <w:uiPriority w:val="99"/>
    <w:unhideWhenUsed/>
    <w:rsid w:val="00EA53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3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eetrust.or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Lucieri</dc:creator>
  <cp:lastModifiedBy>Marco Mosti</cp:lastModifiedBy>
  <cp:revision>13</cp:revision>
  <dcterms:created xsi:type="dcterms:W3CDTF">2020-08-24T12:16:00Z</dcterms:created>
  <dcterms:modified xsi:type="dcterms:W3CDTF">2020-08-26T14:37:00Z</dcterms:modified>
</cp:coreProperties>
</file>